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D9A" w:rsidRDefault="00D63D9A" w:rsidP="005A12C8">
      <w:pPr>
        <w:jc w:val="both"/>
        <w:rPr>
          <w:rFonts w:ascii="Arial" w:hAnsi="Arial"/>
          <w:b/>
          <w:noProof/>
          <w:lang w:val="en-US"/>
        </w:rPr>
      </w:pPr>
    </w:p>
    <w:p w:rsidR="00D63D9A" w:rsidRDefault="00D63D9A" w:rsidP="005A12C8">
      <w:pPr>
        <w:jc w:val="both"/>
        <w:rPr>
          <w:rFonts w:ascii="Arial" w:hAnsi="Arial"/>
          <w:b/>
          <w:noProof/>
          <w:lang w:val="en-US"/>
        </w:rPr>
      </w:pPr>
      <w:r>
        <w:rPr>
          <w:rFonts w:ascii="Arial" w:hAnsi="Arial"/>
          <w:b/>
          <w:noProof/>
          <w:lang w:val="en-US"/>
        </w:rPr>
        <w:t>Business Support Management Board Update</w:t>
      </w:r>
    </w:p>
    <w:p w:rsidR="00D63D9A" w:rsidRDefault="00D63D9A" w:rsidP="005A12C8">
      <w:pPr>
        <w:jc w:val="both"/>
        <w:rPr>
          <w:rFonts w:ascii="Arial" w:hAnsi="Arial"/>
          <w:b/>
          <w:noProof/>
          <w:lang w:val="en-US"/>
        </w:rPr>
      </w:pPr>
    </w:p>
    <w:p w:rsidR="005A12C8" w:rsidRPr="005A12C8" w:rsidRDefault="00C61918" w:rsidP="005A12C8">
      <w:pPr>
        <w:jc w:val="both"/>
        <w:rPr>
          <w:rFonts w:ascii="Arial" w:hAnsi="Arial"/>
          <w:b/>
          <w:noProof/>
          <w:lang w:val="en-US"/>
        </w:rPr>
      </w:pPr>
      <w:r>
        <w:rPr>
          <w:rFonts w:ascii="Arial" w:hAnsi="Arial"/>
          <w:b/>
          <w:noProof/>
          <w:lang w:val="en-US"/>
        </w:rPr>
        <w:t>Boost – Lancashires Business Growth Hub</w:t>
      </w:r>
    </w:p>
    <w:p w:rsidR="005A12C8" w:rsidRPr="005A12C8" w:rsidRDefault="005A12C8" w:rsidP="005A12C8">
      <w:pPr>
        <w:jc w:val="both"/>
        <w:rPr>
          <w:rFonts w:ascii="Arial" w:hAnsi="Arial"/>
          <w:noProof/>
          <w:lang w:val="en-US"/>
        </w:rPr>
      </w:pPr>
    </w:p>
    <w:p w:rsidR="005A12C8" w:rsidRPr="005A12C8" w:rsidRDefault="005A12C8" w:rsidP="005A12C8">
      <w:pPr>
        <w:jc w:val="both"/>
        <w:rPr>
          <w:rFonts w:ascii="Arial" w:hAnsi="Arial"/>
          <w:noProof/>
          <w:lang w:val="en-US"/>
        </w:rPr>
      </w:pPr>
      <w:r w:rsidRPr="005A12C8">
        <w:rPr>
          <w:rFonts w:ascii="Arial" w:hAnsi="Arial"/>
          <w:noProof/>
          <w:lang w:val="en-US"/>
        </w:rPr>
        <w:t xml:space="preserve">Boost is the Business Growth Hub for Lancashire. Its role is to encourage enterprise and to help growth oriented businesses to identify and unlock the barriers to their progression. </w:t>
      </w:r>
      <w:r w:rsidR="002D7169">
        <w:rPr>
          <w:rFonts w:ascii="Arial" w:hAnsi="Arial"/>
          <w:noProof/>
          <w:lang w:val="en-US"/>
        </w:rPr>
        <w:t>#GrowthConversation</w:t>
      </w:r>
    </w:p>
    <w:p w:rsidR="005A12C8" w:rsidRPr="005A12C8" w:rsidRDefault="005A12C8" w:rsidP="005A12C8">
      <w:pPr>
        <w:jc w:val="both"/>
        <w:rPr>
          <w:rFonts w:ascii="Arial" w:hAnsi="Arial"/>
        </w:rPr>
      </w:pPr>
    </w:p>
    <w:p w:rsidR="005A12C8" w:rsidRPr="005A12C8" w:rsidRDefault="005A12C8" w:rsidP="005A12C8">
      <w:pPr>
        <w:jc w:val="both"/>
        <w:rPr>
          <w:rFonts w:ascii="Arial" w:hAnsi="Arial"/>
        </w:rPr>
      </w:pPr>
      <w:r w:rsidRPr="005A12C8">
        <w:rPr>
          <w:rFonts w:ascii="Arial" w:hAnsi="Arial"/>
        </w:rPr>
        <w:t>Following the close of the initial ERDF programme, and pending the availability of a second round of ERDF funding, Boost has been operating a basic service, with a website and telephone helpline, utilising funding through the BIS Growth Deal.</w:t>
      </w:r>
    </w:p>
    <w:p w:rsidR="005A12C8" w:rsidRPr="005A12C8" w:rsidRDefault="005A12C8" w:rsidP="005A12C8">
      <w:pPr>
        <w:jc w:val="both"/>
        <w:rPr>
          <w:rFonts w:ascii="Arial" w:hAnsi="Arial"/>
        </w:rPr>
      </w:pPr>
    </w:p>
    <w:p w:rsidR="005A12C8" w:rsidRPr="005A12C8" w:rsidRDefault="005A12C8" w:rsidP="005A12C8">
      <w:pPr>
        <w:jc w:val="both"/>
        <w:rPr>
          <w:rFonts w:ascii="Arial" w:hAnsi="Arial"/>
        </w:rPr>
      </w:pPr>
      <w:r w:rsidRPr="005A12C8">
        <w:rPr>
          <w:rFonts w:ascii="Arial" w:hAnsi="Arial"/>
        </w:rPr>
        <w:t>LCC have now been successful in bidding for a new tranche of ERDF funding and this came on-stream in January 2016. ERDF grant of £3,706,660 has been secured against a total programme of support amounting to</w:t>
      </w:r>
      <w:r w:rsidRPr="005A12C8">
        <w:rPr>
          <w:rFonts w:ascii="Arial" w:hAnsi="Arial" w:cs="Arial"/>
        </w:rPr>
        <w:t xml:space="preserve"> £7,356,660 over 3 years</w:t>
      </w:r>
      <w:r w:rsidR="00970DE4">
        <w:rPr>
          <w:rFonts w:ascii="Arial" w:hAnsi="Arial" w:cs="Arial"/>
        </w:rPr>
        <w:t>, match funding for this project has been provided by Lancashire County Council and Lancashire County Developments Ltd</w:t>
      </w:r>
      <w:r w:rsidRPr="005A12C8">
        <w:rPr>
          <w:rFonts w:ascii="Arial" w:hAnsi="Arial" w:cs="Arial"/>
        </w:rPr>
        <w:t>.</w:t>
      </w:r>
      <w:r w:rsidRPr="005A12C8">
        <w:rPr>
          <w:rFonts w:ascii="Arial" w:hAnsi="Arial"/>
        </w:rPr>
        <w:t xml:space="preserve"> Following a</w:t>
      </w:r>
      <w:r w:rsidR="00970DE4">
        <w:rPr>
          <w:rFonts w:ascii="Arial" w:hAnsi="Arial"/>
        </w:rPr>
        <w:t>n</w:t>
      </w:r>
      <w:r w:rsidRPr="005A12C8">
        <w:rPr>
          <w:rFonts w:ascii="Arial" w:hAnsi="Arial"/>
        </w:rPr>
        <w:t xml:space="preserve"> EU compliant procurement process, a new suite of Boost project have been developed and ‘Boost 2’ is now fully operational.</w:t>
      </w:r>
    </w:p>
    <w:p w:rsidR="005A12C8" w:rsidRPr="005A12C8" w:rsidRDefault="005A12C8" w:rsidP="005A12C8">
      <w:pPr>
        <w:jc w:val="both"/>
        <w:rPr>
          <w:rFonts w:ascii="Arial" w:hAnsi="Arial"/>
          <w:noProof/>
          <w:lang w:val="en-US"/>
        </w:rPr>
      </w:pPr>
    </w:p>
    <w:p w:rsidR="005A12C8" w:rsidRPr="005A12C8" w:rsidRDefault="005A12C8" w:rsidP="005A12C8">
      <w:pPr>
        <w:jc w:val="both"/>
        <w:rPr>
          <w:rFonts w:ascii="Arial" w:hAnsi="Arial"/>
          <w:b/>
          <w:noProof/>
          <w:lang w:val="en-US"/>
        </w:rPr>
      </w:pPr>
      <w:r w:rsidRPr="005A12C8">
        <w:rPr>
          <w:rFonts w:ascii="Arial" w:hAnsi="Arial"/>
          <w:b/>
          <w:noProof/>
          <w:lang w:val="en-US"/>
        </w:rPr>
        <w:t>New Boost Services</w:t>
      </w:r>
    </w:p>
    <w:p w:rsidR="005A12C8" w:rsidRPr="005A12C8" w:rsidRDefault="005A12C8" w:rsidP="005A12C8">
      <w:pPr>
        <w:jc w:val="both"/>
        <w:rPr>
          <w:rFonts w:ascii="Arial" w:hAnsi="Arial"/>
          <w:noProof/>
          <w:lang w:val="en-US"/>
        </w:rPr>
      </w:pPr>
    </w:p>
    <w:p w:rsidR="005A12C8" w:rsidRPr="005A12C8" w:rsidRDefault="005A12C8" w:rsidP="005A12C8">
      <w:pPr>
        <w:jc w:val="both"/>
        <w:rPr>
          <w:rFonts w:ascii="Arial" w:hAnsi="Arial"/>
          <w:noProof/>
          <w:lang w:val="en-US"/>
        </w:rPr>
      </w:pPr>
      <w:r w:rsidRPr="005A12C8">
        <w:rPr>
          <w:rFonts w:ascii="Arial" w:hAnsi="Arial"/>
          <w:b/>
          <w:i/>
          <w:noProof/>
          <w:lang w:val="en-US"/>
        </w:rPr>
        <w:t>Boost Gateway -</w:t>
      </w:r>
      <w:r w:rsidRPr="005A12C8">
        <w:rPr>
          <w:rFonts w:ascii="Arial" w:hAnsi="Arial"/>
          <w:b/>
          <w:noProof/>
          <w:lang w:val="en-US"/>
        </w:rPr>
        <w:t xml:space="preserve"> </w:t>
      </w:r>
      <w:r w:rsidRPr="005A12C8">
        <w:rPr>
          <w:rFonts w:ascii="Arial" w:hAnsi="Arial"/>
          <w:noProof/>
          <w:lang w:val="en-US"/>
        </w:rPr>
        <w:t>this provides an initial assessment of business needs, identifies the barriers to growth and matches business needs with the most appropriate support organisations</w:t>
      </w:r>
      <w:r w:rsidR="002D7169">
        <w:rPr>
          <w:rFonts w:ascii="Arial" w:hAnsi="Arial"/>
          <w:noProof/>
          <w:lang w:val="en-US"/>
        </w:rPr>
        <w:t xml:space="preserve"> and the private sector (although not direct referal)</w:t>
      </w:r>
      <w:r w:rsidRPr="005A12C8">
        <w:rPr>
          <w:rFonts w:ascii="Arial" w:hAnsi="Arial"/>
          <w:noProof/>
          <w:lang w:val="en-US"/>
        </w:rPr>
        <w:t>. The Gateway contract commenced on 1</w:t>
      </w:r>
      <w:r w:rsidRPr="005A12C8">
        <w:rPr>
          <w:rFonts w:ascii="Arial" w:hAnsi="Arial"/>
          <w:noProof/>
          <w:vertAlign w:val="superscript"/>
          <w:lang w:val="en-US"/>
        </w:rPr>
        <w:t>st</w:t>
      </w:r>
      <w:r w:rsidRPr="005A12C8">
        <w:rPr>
          <w:rFonts w:ascii="Arial" w:hAnsi="Arial"/>
          <w:noProof/>
          <w:lang w:val="en-US"/>
        </w:rPr>
        <w:t xml:space="preserve"> June and is being delivered by Regenerate</w:t>
      </w:r>
      <w:r w:rsidR="00C61918">
        <w:rPr>
          <w:rFonts w:ascii="Arial" w:hAnsi="Arial"/>
          <w:noProof/>
          <w:lang w:val="en-US"/>
        </w:rPr>
        <w:t xml:space="preserve"> Pennie Lancashire</w:t>
      </w:r>
      <w:r w:rsidRPr="005A12C8">
        <w:rPr>
          <w:rFonts w:ascii="Arial" w:hAnsi="Arial"/>
          <w:noProof/>
          <w:lang w:val="en-US"/>
        </w:rPr>
        <w:t>.</w:t>
      </w:r>
    </w:p>
    <w:p w:rsidR="005A12C8" w:rsidRPr="005A12C8" w:rsidRDefault="005A12C8" w:rsidP="005A12C8">
      <w:pPr>
        <w:jc w:val="both"/>
        <w:rPr>
          <w:rFonts w:ascii="Arial" w:hAnsi="Arial"/>
          <w:noProof/>
          <w:lang w:val="en-US"/>
        </w:rPr>
      </w:pPr>
    </w:p>
    <w:p w:rsidR="005A12C8" w:rsidRPr="005A12C8" w:rsidRDefault="005A12C8" w:rsidP="005A12C8">
      <w:pPr>
        <w:jc w:val="both"/>
        <w:rPr>
          <w:rFonts w:ascii="Arial" w:hAnsi="Arial" w:cs="Arial"/>
        </w:rPr>
      </w:pPr>
      <w:r w:rsidRPr="005A12C8">
        <w:rPr>
          <w:rFonts w:ascii="Arial" w:hAnsi="Arial"/>
          <w:b/>
          <w:i/>
          <w:noProof/>
          <w:lang w:val="en-US"/>
        </w:rPr>
        <w:t>Growth Support Service –</w:t>
      </w:r>
      <w:r w:rsidRPr="005A12C8">
        <w:rPr>
          <w:rFonts w:ascii="Arial" w:hAnsi="Arial"/>
          <w:noProof/>
          <w:lang w:val="en-US"/>
        </w:rPr>
        <w:t xml:space="preserve"> </w:t>
      </w:r>
      <w:r w:rsidRPr="005A12C8">
        <w:rPr>
          <w:rFonts w:ascii="Arial" w:hAnsi="Arial" w:cs="Arial"/>
        </w:rPr>
        <w:t>this is aimed at potential entrepreneurs and young enterprises</w:t>
      </w:r>
      <w:r w:rsidR="002D7169">
        <w:rPr>
          <w:rFonts w:ascii="Arial" w:hAnsi="Arial" w:cs="Arial"/>
        </w:rPr>
        <w:t xml:space="preserve"> (3 years or less)</w:t>
      </w:r>
      <w:r w:rsidRPr="005A12C8">
        <w:rPr>
          <w:rFonts w:ascii="Arial" w:hAnsi="Arial" w:cs="Arial"/>
        </w:rPr>
        <w:t>.  This has been significantly redesigned from the previous start up programme, and has introduced new lean start up tools and techniques as well as robust performance mechanisms to drive the focus on growth and deliverable outcomes. The Programme commenced on 1</w:t>
      </w:r>
      <w:r w:rsidRPr="005A12C8">
        <w:rPr>
          <w:rFonts w:ascii="Arial" w:hAnsi="Arial" w:cs="Arial"/>
          <w:vertAlign w:val="superscript"/>
        </w:rPr>
        <w:t>st</w:t>
      </w:r>
      <w:r w:rsidRPr="005A12C8">
        <w:rPr>
          <w:rFonts w:ascii="Arial" w:hAnsi="Arial" w:cs="Arial"/>
        </w:rPr>
        <w:t xml:space="preserve"> March and is being delivered by Winning Pitch in conjunction with Enterprise4All.</w:t>
      </w:r>
    </w:p>
    <w:p w:rsidR="005A12C8" w:rsidRPr="005A12C8" w:rsidRDefault="005A12C8" w:rsidP="005A12C8">
      <w:pPr>
        <w:jc w:val="both"/>
        <w:rPr>
          <w:rFonts w:ascii="Arial" w:hAnsi="Arial"/>
          <w:b/>
          <w:noProof/>
          <w:lang w:val="en-US"/>
        </w:rPr>
      </w:pPr>
    </w:p>
    <w:p w:rsidR="005A12C8" w:rsidRPr="005A12C8" w:rsidRDefault="005A12C8" w:rsidP="005A12C8">
      <w:pPr>
        <w:jc w:val="both"/>
        <w:rPr>
          <w:rFonts w:ascii="Arial" w:hAnsi="Arial" w:cs="Arial"/>
        </w:rPr>
      </w:pPr>
      <w:r w:rsidRPr="005A12C8">
        <w:rPr>
          <w:rFonts w:ascii="Arial" w:hAnsi="Arial"/>
          <w:b/>
          <w:i/>
          <w:noProof/>
          <w:lang w:val="en-US"/>
        </w:rPr>
        <w:t>Growth Mentoring Programme -</w:t>
      </w:r>
      <w:r w:rsidRPr="005A12C8">
        <w:rPr>
          <w:rFonts w:ascii="Arial" w:hAnsi="Arial"/>
          <w:noProof/>
          <w:lang w:val="en-US"/>
        </w:rPr>
        <w:t xml:space="preserve"> </w:t>
      </w:r>
      <w:r w:rsidRPr="005A12C8">
        <w:rPr>
          <w:rFonts w:ascii="Arial" w:hAnsi="Arial" w:cs="Arial"/>
        </w:rPr>
        <w:t>this will match the development needs of SMEs with experienced and successful Lancashire entrepreneurs and company directors.  This is based on the very successful mentoring model that has operate</w:t>
      </w:r>
      <w:r w:rsidR="002D7169">
        <w:rPr>
          <w:rFonts w:ascii="Arial" w:hAnsi="Arial" w:cs="Arial"/>
        </w:rPr>
        <w:t xml:space="preserve">d in Lancashire for many years. </w:t>
      </w:r>
      <w:r w:rsidRPr="005A12C8">
        <w:rPr>
          <w:rFonts w:ascii="Arial" w:hAnsi="Arial" w:cs="Arial"/>
        </w:rPr>
        <w:t>The programme started on 1</w:t>
      </w:r>
      <w:r w:rsidRPr="005A12C8">
        <w:rPr>
          <w:rFonts w:ascii="Arial" w:hAnsi="Arial" w:cs="Arial"/>
          <w:vertAlign w:val="superscript"/>
        </w:rPr>
        <w:t>st</w:t>
      </w:r>
      <w:r w:rsidRPr="005A12C8">
        <w:rPr>
          <w:rFonts w:ascii="Arial" w:hAnsi="Arial" w:cs="Arial"/>
        </w:rPr>
        <w:t xml:space="preserve"> March and will be delivered by Community and Business Partners and </w:t>
      </w:r>
      <w:proofErr w:type="spellStart"/>
      <w:r w:rsidRPr="005A12C8">
        <w:rPr>
          <w:rFonts w:ascii="Arial" w:hAnsi="Arial" w:cs="Arial"/>
        </w:rPr>
        <w:t>Orvia</w:t>
      </w:r>
      <w:proofErr w:type="spellEnd"/>
      <w:r w:rsidRPr="005A12C8">
        <w:rPr>
          <w:rFonts w:ascii="Arial" w:hAnsi="Arial" w:cs="Arial"/>
        </w:rPr>
        <w:t>.</w:t>
      </w:r>
    </w:p>
    <w:p w:rsidR="005A12C8" w:rsidRPr="005A12C8" w:rsidRDefault="005A12C8" w:rsidP="005A12C8">
      <w:pPr>
        <w:jc w:val="both"/>
        <w:rPr>
          <w:rFonts w:ascii="Arial" w:hAnsi="Arial"/>
          <w:noProof/>
          <w:lang w:val="en-US"/>
        </w:rPr>
      </w:pPr>
    </w:p>
    <w:p w:rsidR="005A12C8" w:rsidRPr="005A12C8" w:rsidRDefault="005A12C8" w:rsidP="005A12C8">
      <w:pPr>
        <w:jc w:val="both"/>
        <w:rPr>
          <w:rFonts w:ascii="Arial" w:hAnsi="Arial" w:cs="Arial"/>
        </w:rPr>
      </w:pPr>
      <w:r w:rsidRPr="005A12C8">
        <w:rPr>
          <w:rFonts w:ascii="Arial" w:hAnsi="Arial"/>
          <w:b/>
          <w:i/>
          <w:noProof/>
          <w:lang w:val="en-US"/>
        </w:rPr>
        <w:t xml:space="preserve">Growth Vouchers </w:t>
      </w:r>
      <w:r w:rsidR="002D7169">
        <w:rPr>
          <w:rFonts w:ascii="Arial" w:hAnsi="Arial"/>
          <w:b/>
          <w:i/>
          <w:noProof/>
          <w:lang w:val="en-US"/>
        </w:rPr>
        <w:t>–</w:t>
      </w:r>
      <w:r w:rsidRPr="005A12C8">
        <w:rPr>
          <w:rFonts w:ascii="Arial" w:hAnsi="Arial"/>
          <w:noProof/>
          <w:lang w:val="en-US"/>
        </w:rPr>
        <w:t xml:space="preserve"> </w:t>
      </w:r>
      <w:r w:rsidR="002D7169">
        <w:rPr>
          <w:rFonts w:ascii="Arial" w:hAnsi="Arial" w:cs="Arial"/>
        </w:rPr>
        <w:t>any eligible</w:t>
      </w:r>
      <w:r w:rsidRPr="005A12C8">
        <w:rPr>
          <w:rFonts w:ascii="Arial" w:hAnsi="Arial" w:cs="Arial"/>
        </w:rPr>
        <w:t xml:space="preserve"> SME will be able to apply for a Gr</w:t>
      </w:r>
      <w:r w:rsidR="002D7169">
        <w:rPr>
          <w:rFonts w:ascii="Arial" w:hAnsi="Arial" w:cs="Arial"/>
        </w:rPr>
        <w:t xml:space="preserve">owth Voucher (assuming they are looking to create wealth and jobs) </w:t>
      </w:r>
      <w:r w:rsidRPr="005A12C8">
        <w:rPr>
          <w:rFonts w:ascii="Arial" w:hAnsi="Arial" w:cs="Arial"/>
        </w:rPr>
        <w:t xml:space="preserve"> to offset the cost of implementing growth proposals provided that the project has been justified through one of:</w:t>
      </w:r>
    </w:p>
    <w:p w:rsidR="005A12C8" w:rsidRPr="005A12C8" w:rsidRDefault="005A12C8" w:rsidP="005A12C8">
      <w:pPr>
        <w:jc w:val="both"/>
        <w:rPr>
          <w:rFonts w:ascii="Arial" w:hAnsi="Arial" w:cs="Arial"/>
        </w:rPr>
      </w:pPr>
    </w:p>
    <w:p w:rsidR="005A12C8" w:rsidRPr="005A12C8" w:rsidRDefault="005A12C8" w:rsidP="005A12C8">
      <w:pPr>
        <w:numPr>
          <w:ilvl w:val="0"/>
          <w:numId w:val="19"/>
        </w:numPr>
        <w:ind w:left="709" w:hanging="425"/>
        <w:contextualSpacing/>
        <w:jc w:val="both"/>
        <w:rPr>
          <w:rFonts w:ascii="Arial" w:eastAsia="Times New Roman" w:hAnsi="Arial" w:cs="Times New Roman"/>
          <w:lang w:eastAsia="en-GB"/>
        </w:rPr>
      </w:pPr>
      <w:r w:rsidRPr="005A12C8">
        <w:rPr>
          <w:rFonts w:ascii="Arial" w:eastAsia="Times New Roman" w:hAnsi="Arial" w:cs="Times New Roman"/>
          <w:lang w:eastAsia="en-GB"/>
        </w:rPr>
        <w:lastRenderedPageBreak/>
        <w:t xml:space="preserve">Through a personal action plan produced by participation in the </w:t>
      </w:r>
      <w:r w:rsidRPr="005A12C8">
        <w:rPr>
          <w:rFonts w:ascii="Arial" w:eastAsia="Times New Roman" w:hAnsi="Arial" w:cs="Times New Roman"/>
          <w:i/>
          <w:lang w:eastAsia="en-GB"/>
        </w:rPr>
        <w:t>Growth Support Programme</w:t>
      </w:r>
      <w:r w:rsidRPr="005A12C8">
        <w:rPr>
          <w:rFonts w:ascii="Arial" w:eastAsia="Times New Roman" w:hAnsi="Arial" w:cs="Times New Roman"/>
          <w:lang w:eastAsia="en-GB"/>
        </w:rPr>
        <w:t>;</w:t>
      </w:r>
    </w:p>
    <w:p w:rsidR="005A12C8" w:rsidRPr="005A12C8" w:rsidRDefault="005A12C8" w:rsidP="005A12C8">
      <w:pPr>
        <w:numPr>
          <w:ilvl w:val="0"/>
          <w:numId w:val="19"/>
        </w:numPr>
        <w:ind w:left="709" w:hanging="425"/>
        <w:contextualSpacing/>
        <w:jc w:val="both"/>
        <w:rPr>
          <w:rFonts w:ascii="Arial" w:eastAsia="Times New Roman" w:hAnsi="Arial" w:cs="Times New Roman"/>
          <w:lang w:eastAsia="en-GB"/>
        </w:rPr>
      </w:pPr>
      <w:r w:rsidRPr="005A12C8">
        <w:rPr>
          <w:rFonts w:ascii="Arial" w:eastAsia="Times New Roman" w:hAnsi="Arial" w:cs="Times New Roman"/>
          <w:lang w:eastAsia="en-GB"/>
        </w:rPr>
        <w:t xml:space="preserve">Through a </w:t>
      </w:r>
      <w:r w:rsidRPr="005A12C8">
        <w:rPr>
          <w:rFonts w:ascii="Arial" w:eastAsia="Times New Roman" w:hAnsi="Arial" w:cs="Times New Roman"/>
          <w:i/>
          <w:lang w:eastAsia="en-GB"/>
        </w:rPr>
        <w:t>Growth Mentoring</w:t>
      </w:r>
      <w:r w:rsidRPr="005A12C8">
        <w:rPr>
          <w:rFonts w:ascii="Arial" w:eastAsia="Times New Roman" w:hAnsi="Arial" w:cs="Times New Roman"/>
          <w:lang w:eastAsia="en-GB"/>
        </w:rPr>
        <w:t xml:space="preserve"> record;</w:t>
      </w:r>
    </w:p>
    <w:p w:rsidR="005A12C8" w:rsidRPr="005A12C8" w:rsidRDefault="005A12C8" w:rsidP="005A12C8">
      <w:pPr>
        <w:numPr>
          <w:ilvl w:val="0"/>
          <w:numId w:val="19"/>
        </w:numPr>
        <w:ind w:left="709" w:hanging="425"/>
        <w:contextualSpacing/>
        <w:jc w:val="both"/>
        <w:rPr>
          <w:rFonts w:ascii="Arial" w:eastAsia="Times New Roman" w:hAnsi="Arial" w:cs="Times New Roman"/>
          <w:lang w:eastAsia="en-GB"/>
        </w:rPr>
      </w:pPr>
      <w:r w:rsidRPr="005A12C8">
        <w:rPr>
          <w:rFonts w:ascii="Arial" w:eastAsia="Times New Roman" w:hAnsi="Arial" w:cs="Times New Roman"/>
          <w:lang w:eastAsia="en-GB"/>
        </w:rPr>
        <w:t>A Business Case supported by a company’s accountant or financial advisor;</w:t>
      </w:r>
    </w:p>
    <w:p w:rsidR="005A12C8" w:rsidRPr="005A12C8" w:rsidRDefault="005A12C8" w:rsidP="005A12C8">
      <w:pPr>
        <w:numPr>
          <w:ilvl w:val="0"/>
          <w:numId w:val="19"/>
        </w:numPr>
        <w:ind w:left="709" w:hanging="425"/>
        <w:contextualSpacing/>
        <w:jc w:val="both"/>
        <w:rPr>
          <w:rFonts w:ascii="Arial" w:eastAsia="Times New Roman" w:hAnsi="Arial" w:cs="Times New Roman"/>
          <w:lang w:eastAsia="en-GB"/>
        </w:rPr>
      </w:pPr>
      <w:r w:rsidRPr="005A12C8">
        <w:rPr>
          <w:rFonts w:ascii="Arial" w:eastAsia="Times New Roman" w:hAnsi="Arial" w:cs="Times New Roman"/>
          <w:lang w:eastAsia="en-GB"/>
        </w:rPr>
        <w:t>Through the Growth Hub’s Gateway Service.</w:t>
      </w:r>
    </w:p>
    <w:p w:rsidR="005A12C8" w:rsidRPr="005A12C8" w:rsidRDefault="005A12C8" w:rsidP="005A12C8">
      <w:pPr>
        <w:jc w:val="both"/>
        <w:rPr>
          <w:rFonts w:ascii="Arial" w:hAnsi="Arial"/>
        </w:rPr>
      </w:pPr>
    </w:p>
    <w:p w:rsidR="00127006" w:rsidRDefault="005A12C8" w:rsidP="00C61918">
      <w:pPr>
        <w:jc w:val="both"/>
        <w:rPr>
          <w:rFonts w:ascii="Arial" w:hAnsi="Arial"/>
          <w:b/>
          <w:noProof/>
          <w:lang w:val="en-US"/>
        </w:rPr>
      </w:pPr>
      <w:r w:rsidRPr="005A12C8">
        <w:rPr>
          <w:rFonts w:ascii="Arial" w:hAnsi="Arial"/>
        </w:rPr>
        <w:t>The Growth Voucher budget of £750,000 will be m</w:t>
      </w:r>
      <w:r w:rsidR="002D7169">
        <w:rPr>
          <w:rFonts w:ascii="Arial" w:hAnsi="Arial"/>
        </w:rPr>
        <w:t>anaged by the Gateway service</w:t>
      </w:r>
      <w:r w:rsidRPr="005A12C8">
        <w:rPr>
          <w:rFonts w:ascii="Arial" w:hAnsi="Arial"/>
        </w:rPr>
        <w:t>.  Companies will apply for assistance to help to unlock specific barriers to growth. The minimum grant will be £1000, and the maximum £5,000.  Each Voucher must be matched pound for pound by the businesses themselves</w:t>
      </w:r>
    </w:p>
    <w:p w:rsidR="00127006" w:rsidRDefault="00127006" w:rsidP="005A12C8">
      <w:pPr>
        <w:jc w:val="both"/>
        <w:rPr>
          <w:rFonts w:ascii="Arial" w:hAnsi="Arial"/>
          <w:b/>
          <w:noProof/>
          <w:lang w:val="en-US"/>
        </w:rPr>
      </w:pPr>
    </w:p>
    <w:p w:rsidR="005A12C8" w:rsidRPr="005A12C8" w:rsidRDefault="005A12C8" w:rsidP="005A12C8">
      <w:pPr>
        <w:jc w:val="both"/>
        <w:rPr>
          <w:rFonts w:ascii="Arial" w:hAnsi="Arial"/>
          <w:b/>
          <w:noProof/>
          <w:lang w:val="en-US"/>
        </w:rPr>
      </w:pPr>
      <w:r w:rsidRPr="005A12C8">
        <w:rPr>
          <w:rFonts w:ascii="Arial" w:hAnsi="Arial"/>
          <w:b/>
          <w:noProof/>
          <w:lang w:val="en-US"/>
        </w:rPr>
        <w:t>Marketing</w:t>
      </w:r>
    </w:p>
    <w:p w:rsidR="005A12C8" w:rsidRPr="005A12C8" w:rsidRDefault="005A12C8" w:rsidP="005A12C8">
      <w:pPr>
        <w:jc w:val="both"/>
        <w:rPr>
          <w:rFonts w:ascii="Arial" w:hAnsi="Arial"/>
          <w:noProof/>
          <w:lang w:val="en-US"/>
        </w:rPr>
      </w:pPr>
    </w:p>
    <w:p w:rsidR="005A12C8" w:rsidRPr="005A12C8" w:rsidRDefault="005A12C8" w:rsidP="005A12C8">
      <w:pPr>
        <w:jc w:val="both"/>
        <w:rPr>
          <w:rFonts w:ascii="Arial" w:hAnsi="Arial"/>
          <w:noProof/>
          <w:lang w:val="en-US"/>
        </w:rPr>
      </w:pPr>
      <w:r w:rsidRPr="005A12C8">
        <w:rPr>
          <w:rFonts w:ascii="Arial" w:hAnsi="Arial"/>
          <w:noProof/>
          <w:lang w:val="en-US"/>
        </w:rPr>
        <w:t>The success or otherwise of Boost depends to a large extent on how well it is used</w:t>
      </w:r>
      <w:r w:rsidR="00822433">
        <w:rPr>
          <w:rFonts w:ascii="Arial" w:hAnsi="Arial"/>
          <w:noProof/>
          <w:lang w:val="en-US"/>
        </w:rPr>
        <w:t xml:space="preserve">/unserstood </w:t>
      </w:r>
      <w:r w:rsidRPr="005A12C8">
        <w:rPr>
          <w:rFonts w:ascii="Arial" w:hAnsi="Arial"/>
          <w:noProof/>
          <w:lang w:val="en-US"/>
        </w:rPr>
        <w:t xml:space="preserve"> by Lancashire busin</w:t>
      </w:r>
      <w:r w:rsidR="00822433">
        <w:rPr>
          <w:rFonts w:ascii="Arial" w:hAnsi="Arial"/>
          <w:noProof/>
          <w:lang w:val="en-US"/>
        </w:rPr>
        <w:t xml:space="preserve">esses.  </w:t>
      </w:r>
      <w:r w:rsidRPr="005A12C8">
        <w:rPr>
          <w:rFonts w:ascii="Arial" w:hAnsi="Arial"/>
          <w:noProof/>
          <w:lang w:val="en-US"/>
        </w:rPr>
        <w:t>Boost has a central Marketing function that has the role of driving enquiry ‘traffic’ to the Boost Gateway</w:t>
      </w:r>
      <w:r w:rsidR="00822433">
        <w:rPr>
          <w:rFonts w:ascii="Arial" w:hAnsi="Arial"/>
          <w:noProof/>
          <w:lang w:val="en-US"/>
        </w:rPr>
        <w:t>/partners and also eulogising growth ambition within Lancashire</w:t>
      </w:r>
      <w:r w:rsidRPr="005A12C8">
        <w:rPr>
          <w:rFonts w:ascii="Arial" w:hAnsi="Arial"/>
          <w:noProof/>
          <w:lang w:val="en-US"/>
        </w:rPr>
        <w:t xml:space="preserve">. </w:t>
      </w:r>
      <w:r w:rsidR="00822433">
        <w:rPr>
          <w:rFonts w:ascii="Arial" w:hAnsi="Arial"/>
          <w:noProof/>
          <w:lang w:val="en-US"/>
        </w:rPr>
        <w:t>We are tempting all businesses in Lancashire to think about their growth opportunities and start their #GrowthConversation as well as</w:t>
      </w:r>
      <w:r w:rsidRPr="005A12C8">
        <w:rPr>
          <w:rFonts w:ascii="Arial" w:hAnsi="Arial"/>
          <w:noProof/>
          <w:lang w:val="en-US"/>
        </w:rPr>
        <w:t xml:space="preserve"> raising awareness overall of the role that </w:t>
      </w:r>
      <w:r w:rsidR="00822433">
        <w:rPr>
          <w:rFonts w:ascii="Arial" w:hAnsi="Arial"/>
          <w:noProof/>
          <w:lang w:val="en-US"/>
        </w:rPr>
        <w:t xml:space="preserve">external </w:t>
      </w:r>
      <w:r w:rsidRPr="005A12C8">
        <w:rPr>
          <w:rFonts w:ascii="Arial" w:hAnsi="Arial"/>
          <w:noProof/>
          <w:lang w:val="en-US"/>
        </w:rPr>
        <w:t>business support can play in supporting business growth.  The regular bulletins and newsletters coordinated by the marketing function will include powerful case studies relating to businesses who have benefitted from Boost support.</w:t>
      </w:r>
    </w:p>
    <w:p w:rsidR="005A12C8" w:rsidRPr="005A12C8" w:rsidRDefault="005A12C8" w:rsidP="005A12C8">
      <w:pPr>
        <w:jc w:val="both"/>
        <w:rPr>
          <w:rFonts w:ascii="Arial" w:hAnsi="Arial"/>
          <w:noProof/>
          <w:lang w:val="en-US"/>
        </w:rPr>
      </w:pPr>
    </w:p>
    <w:p w:rsidR="005A12C8" w:rsidRPr="005A12C8" w:rsidRDefault="005A12C8" w:rsidP="005A12C8">
      <w:pPr>
        <w:jc w:val="both"/>
        <w:rPr>
          <w:rFonts w:ascii="Arial" w:hAnsi="Arial"/>
          <w:b/>
          <w:noProof/>
          <w:lang w:val="en-US"/>
        </w:rPr>
      </w:pPr>
      <w:r w:rsidRPr="005A12C8">
        <w:rPr>
          <w:rFonts w:ascii="Arial" w:hAnsi="Arial"/>
          <w:b/>
          <w:noProof/>
          <w:lang w:val="en-US"/>
        </w:rPr>
        <w:t>Output targets and performance to date</w:t>
      </w:r>
    </w:p>
    <w:p w:rsidR="005A12C8" w:rsidRPr="005A12C8" w:rsidRDefault="005A12C8" w:rsidP="005A12C8">
      <w:pPr>
        <w:jc w:val="both"/>
        <w:rPr>
          <w:rFonts w:ascii="Arial" w:hAnsi="Arial"/>
          <w:noProof/>
          <w:lang w:val="en-US"/>
        </w:rPr>
      </w:pPr>
    </w:p>
    <w:p w:rsidR="005A12C8" w:rsidRPr="005A12C8" w:rsidRDefault="005A12C8" w:rsidP="005A12C8">
      <w:pPr>
        <w:jc w:val="both"/>
        <w:rPr>
          <w:rFonts w:ascii="Arial" w:hAnsi="Arial"/>
          <w:noProof/>
          <w:lang w:val="en-US"/>
        </w:rPr>
      </w:pPr>
      <w:r w:rsidRPr="005A12C8">
        <w:rPr>
          <w:rFonts w:ascii="Arial" w:hAnsi="Arial"/>
          <w:noProof/>
          <w:lang w:val="en-US"/>
        </w:rPr>
        <w:t>Overall, Boost aims to engage with a target of 3000 businesses in Lancahsire over a 3</w:t>
      </w:r>
      <w:r w:rsidR="00FE26F3">
        <w:rPr>
          <w:rFonts w:ascii="Arial" w:hAnsi="Arial"/>
          <w:noProof/>
          <w:lang w:val="en-US"/>
        </w:rPr>
        <w:t xml:space="preserve"> year period to December 2018.   </w:t>
      </w:r>
      <w:r w:rsidRPr="005A12C8">
        <w:rPr>
          <w:rFonts w:ascii="Arial" w:hAnsi="Arial"/>
          <w:noProof/>
          <w:lang w:val="en-US"/>
        </w:rPr>
        <w:t>As part of its ERDF funding agreement, Boost is required to deliver a number of key outputs that contribute to the overall targets for the ERDF Operational Programme.  These are:</w:t>
      </w:r>
    </w:p>
    <w:p w:rsidR="005A12C8" w:rsidRPr="005A12C8" w:rsidRDefault="005A12C8" w:rsidP="005A12C8">
      <w:pPr>
        <w:jc w:val="both"/>
        <w:rPr>
          <w:rFonts w:ascii="Arial" w:hAnsi="Arial"/>
          <w:noProof/>
          <w:lang w:val="en-US"/>
        </w:rPr>
      </w:pPr>
    </w:p>
    <w:p w:rsidR="005A12C8" w:rsidRPr="005A12C8" w:rsidRDefault="005A12C8" w:rsidP="005A12C8">
      <w:pPr>
        <w:jc w:val="both"/>
        <w:rPr>
          <w:rFonts w:ascii="Arial" w:hAnsi="Arial"/>
          <w:noProof/>
          <w:lang w:val="en-US"/>
        </w:rPr>
      </w:pPr>
    </w:p>
    <w:tbl>
      <w:tblPr>
        <w:tblStyle w:val="TableGrid"/>
        <w:tblW w:w="8364" w:type="dxa"/>
        <w:tblInd w:w="108" w:type="dxa"/>
        <w:tblLook w:val="00A0" w:firstRow="1" w:lastRow="0" w:firstColumn="1" w:lastColumn="0" w:noHBand="0" w:noVBand="0"/>
      </w:tblPr>
      <w:tblGrid>
        <w:gridCol w:w="6804"/>
        <w:gridCol w:w="1560"/>
      </w:tblGrid>
      <w:tr w:rsidR="005A12C8" w:rsidRPr="005A12C8" w:rsidTr="00264C5E">
        <w:tc>
          <w:tcPr>
            <w:tcW w:w="6804" w:type="dxa"/>
          </w:tcPr>
          <w:p w:rsidR="005A12C8" w:rsidRPr="005A12C8" w:rsidRDefault="005A12C8" w:rsidP="005A12C8">
            <w:pPr>
              <w:rPr>
                <w:rFonts w:ascii="Arial" w:hAnsi="Arial" w:cs="Arial"/>
                <w:b/>
                <w:sz w:val="22"/>
              </w:rPr>
            </w:pPr>
            <w:r w:rsidRPr="005A12C8">
              <w:rPr>
                <w:rFonts w:ascii="Arial" w:hAnsi="Arial" w:cs="Arial"/>
                <w:b/>
                <w:sz w:val="22"/>
              </w:rPr>
              <w:t>Indicator</w:t>
            </w:r>
          </w:p>
          <w:p w:rsidR="005A12C8" w:rsidRPr="005A12C8" w:rsidRDefault="005A12C8" w:rsidP="005A12C8">
            <w:pPr>
              <w:jc w:val="both"/>
              <w:rPr>
                <w:rFonts w:ascii="Arial" w:hAnsi="Arial" w:cs="Arial"/>
                <w:b/>
                <w:sz w:val="22"/>
              </w:rPr>
            </w:pPr>
          </w:p>
        </w:tc>
        <w:tc>
          <w:tcPr>
            <w:tcW w:w="1560" w:type="dxa"/>
          </w:tcPr>
          <w:p w:rsidR="005A12C8" w:rsidRPr="005A12C8" w:rsidRDefault="005A12C8" w:rsidP="005A12C8">
            <w:pPr>
              <w:jc w:val="center"/>
              <w:rPr>
                <w:rFonts w:ascii="Arial" w:hAnsi="Arial" w:cs="Arial"/>
                <w:b/>
                <w:sz w:val="22"/>
              </w:rPr>
            </w:pPr>
            <w:r w:rsidRPr="005A12C8">
              <w:rPr>
                <w:rFonts w:ascii="Arial" w:hAnsi="Arial" w:cs="Arial"/>
                <w:b/>
                <w:sz w:val="22"/>
              </w:rPr>
              <w:t>Target</w:t>
            </w:r>
          </w:p>
        </w:tc>
      </w:tr>
      <w:tr w:rsidR="005A12C8" w:rsidRPr="005A12C8" w:rsidTr="00264C5E">
        <w:tc>
          <w:tcPr>
            <w:tcW w:w="6804" w:type="dxa"/>
          </w:tcPr>
          <w:p w:rsidR="005A12C8" w:rsidRPr="005A12C8" w:rsidRDefault="005A12C8" w:rsidP="005A12C8">
            <w:pPr>
              <w:rPr>
                <w:rFonts w:ascii="Arial" w:hAnsi="Arial" w:cs="Arial"/>
                <w:sz w:val="22"/>
              </w:rPr>
            </w:pPr>
            <w:r w:rsidRPr="005A12C8">
              <w:rPr>
                <w:rFonts w:ascii="Arial" w:hAnsi="Arial" w:cs="Arial"/>
                <w:sz w:val="22"/>
              </w:rPr>
              <w:t xml:space="preserve">Number </w:t>
            </w:r>
            <w:r w:rsidRPr="005A12C8">
              <w:rPr>
                <w:rFonts w:ascii="Arial" w:hAnsi="Arial"/>
                <w:sz w:val="22"/>
                <w:szCs w:val="18"/>
              </w:rPr>
              <w:t>of enterprises receiving a minimum of 3 hours Information, Diagnostic and Brokerage</w:t>
            </w:r>
            <w:r w:rsidRPr="005A12C8">
              <w:rPr>
                <w:rFonts w:ascii="Arial" w:hAnsi="Arial" w:cs="Arial"/>
                <w:sz w:val="22"/>
              </w:rPr>
              <w:t xml:space="preserve"> support - </w:t>
            </w:r>
          </w:p>
          <w:p w:rsidR="005A12C8" w:rsidRPr="005A12C8" w:rsidRDefault="005A12C8" w:rsidP="005A12C8">
            <w:pPr>
              <w:rPr>
                <w:rFonts w:ascii="Arial" w:hAnsi="Arial" w:cs="Arial"/>
                <w:sz w:val="22"/>
              </w:rPr>
            </w:pPr>
            <w:r w:rsidRPr="005A12C8">
              <w:rPr>
                <w:rFonts w:ascii="Arial" w:hAnsi="Arial" w:cs="Arial"/>
                <w:sz w:val="22"/>
              </w:rPr>
              <w:t>Number of enterprises receiving a minimum of 12 hours support -</w:t>
            </w:r>
          </w:p>
          <w:p w:rsidR="005A12C8" w:rsidRPr="005A12C8" w:rsidRDefault="005A12C8" w:rsidP="005A12C8">
            <w:pPr>
              <w:rPr>
                <w:rFonts w:ascii="Arial" w:hAnsi="Arial"/>
                <w:noProof/>
                <w:sz w:val="22"/>
                <w:lang w:val="en-US"/>
              </w:rPr>
            </w:pPr>
            <w:r w:rsidRPr="005A12C8">
              <w:rPr>
                <w:rFonts w:ascii="Arial" w:hAnsi="Arial"/>
                <w:noProof/>
                <w:sz w:val="22"/>
                <w:lang w:val="en-US"/>
              </w:rPr>
              <w:t xml:space="preserve">Number of businesses receiving grants - </w:t>
            </w:r>
          </w:p>
          <w:p w:rsidR="005A12C8" w:rsidRPr="005A12C8" w:rsidRDefault="005A12C8" w:rsidP="005A12C8">
            <w:pPr>
              <w:rPr>
                <w:rFonts w:ascii="Arial" w:hAnsi="Arial"/>
                <w:noProof/>
                <w:sz w:val="22"/>
                <w:lang w:val="en-US"/>
              </w:rPr>
            </w:pPr>
            <w:r w:rsidRPr="005A12C8">
              <w:rPr>
                <w:rFonts w:ascii="Arial" w:hAnsi="Arial"/>
                <w:noProof/>
                <w:sz w:val="22"/>
                <w:lang w:val="en-US"/>
              </w:rPr>
              <w:t xml:space="preserve">Private sector investment - </w:t>
            </w:r>
          </w:p>
          <w:p w:rsidR="005A12C8" w:rsidRPr="005A12C8" w:rsidRDefault="005A12C8" w:rsidP="005A12C8">
            <w:pPr>
              <w:rPr>
                <w:rFonts w:ascii="Arial" w:hAnsi="Arial"/>
                <w:noProof/>
                <w:sz w:val="22"/>
                <w:lang w:val="en-US"/>
              </w:rPr>
            </w:pPr>
            <w:r w:rsidRPr="005A12C8">
              <w:rPr>
                <w:rFonts w:ascii="Arial" w:hAnsi="Arial"/>
                <w:noProof/>
                <w:sz w:val="22"/>
                <w:lang w:val="en-US"/>
              </w:rPr>
              <w:t>Number of businesses receiving non-financial support -</w:t>
            </w:r>
          </w:p>
          <w:p w:rsidR="005A12C8" w:rsidRPr="005A12C8" w:rsidRDefault="005A12C8" w:rsidP="005A12C8">
            <w:pPr>
              <w:rPr>
                <w:rFonts w:ascii="Arial" w:hAnsi="Arial" w:cs="Arial"/>
                <w:sz w:val="22"/>
              </w:rPr>
            </w:pPr>
            <w:r w:rsidRPr="005A12C8">
              <w:rPr>
                <w:rFonts w:ascii="Arial" w:hAnsi="Arial" w:cs="Arial"/>
                <w:sz w:val="22"/>
              </w:rPr>
              <w:t>Number of potential entrepreneurs supported -</w:t>
            </w:r>
          </w:p>
          <w:p w:rsidR="005A12C8" w:rsidRPr="005A12C8" w:rsidRDefault="005A12C8" w:rsidP="005A12C8">
            <w:pPr>
              <w:rPr>
                <w:rFonts w:ascii="Arial" w:hAnsi="Arial" w:cs="Arial"/>
                <w:sz w:val="22"/>
              </w:rPr>
            </w:pPr>
            <w:r w:rsidRPr="005A12C8">
              <w:rPr>
                <w:rFonts w:ascii="Arial" w:hAnsi="Arial" w:cs="Arial"/>
                <w:sz w:val="22"/>
              </w:rPr>
              <w:t>Number of new enterprises launched -</w:t>
            </w:r>
          </w:p>
          <w:p w:rsidR="005A12C8" w:rsidRPr="005A12C8" w:rsidRDefault="005A12C8" w:rsidP="005A12C8">
            <w:pPr>
              <w:rPr>
                <w:rFonts w:ascii="Arial" w:hAnsi="Arial"/>
                <w:noProof/>
                <w:sz w:val="22"/>
                <w:lang w:val="en-US"/>
              </w:rPr>
            </w:pPr>
            <w:r w:rsidRPr="005A12C8">
              <w:rPr>
                <w:rFonts w:ascii="Arial" w:hAnsi="Arial" w:cs="Arial"/>
                <w:sz w:val="22"/>
              </w:rPr>
              <w:t>Number of new jobs created -</w:t>
            </w:r>
          </w:p>
          <w:p w:rsidR="005A12C8" w:rsidRPr="005A12C8" w:rsidRDefault="005A12C8" w:rsidP="005A12C8">
            <w:pPr>
              <w:ind w:left="709" w:hanging="709"/>
              <w:rPr>
                <w:rFonts w:ascii="Arial" w:hAnsi="Arial" w:cs="Arial"/>
                <w:sz w:val="22"/>
              </w:rPr>
            </w:pPr>
          </w:p>
        </w:tc>
        <w:tc>
          <w:tcPr>
            <w:tcW w:w="1560" w:type="dxa"/>
          </w:tcPr>
          <w:p w:rsidR="005A12C8" w:rsidRPr="005A12C8" w:rsidRDefault="005A12C8" w:rsidP="005A12C8">
            <w:pPr>
              <w:jc w:val="center"/>
              <w:rPr>
                <w:rFonts w:ascii="Arial" w:hAnsi="Arial" w:cs="Arial"/>
                <w:sz w:val="22"/>
              </w:rPr>
            </w:pPr>
            <w:r w:rsidRPr="005A12C8">
              <w:rPr>
                <w:rFonts w:ascii="Arial" w:hAnsi="Arial" w:cs="Arial"/>
                <w:sz w:val="22"/>
              </w:rPr>
              <w:t>1640</w:t>
            </w:r>
          </w:p>
          <w:p w:rsidR="005A12C8" w:rsidRPr="005A12C8" w:rsidRDefault="005A12C8" w:rsidP="005A12C8">
            <w:pPr>
              <w:jc w:val="center"/>
              <w:rPr>
                <w:rFonts w:ascii="Arial" w:hAnsi="Arial" w:cs="Arial"/>
                <w:sz w:val="22"/>
              </w:rPr>
            </w:pPr>
          </w:p>
          <w:p w:rsidR="005A12C8" w:rsidRPr="005A12C8" w:rsidRDefault="005A12C8" w:rsidP="005A12C8">
            <w:pPr>
              <w:jc w:val="center"/>
              <w:rPr>
                <w:rFonts w:ascii="Arial" w:hAnsi="Arial" w:cs="Arial"/>
                <w:sz w:val="22"/>
              </w:rPr>
            </w:pPr>
            <w:r w:rsidRPr="005A12C8">
              <w:rPr>
                <w:rFonts w:ascii="Arial" w:hAnsi="Arial" w:cs="Arial"/>
                <w:sz w:val="22"/>
              </w:rPr>
              <w:t>1360</w:t>
            </w:r>
          </w:p>
          <w:p w:rsidR="005A12C8" w:rsidRPr="005A12C8" w:rsidRDefault="005A12C8" w:rsidP="005A12C8">
            <w:pPr>
              <w:jc w:val="center"/>
              <w:rPr>
                <w:rFonts w:ascii="Arial" w:hAnsi="Arial" w:cs="Arial"/>
                <w:sz w:val="22"/>
              </w:rPr>
            </w:pPr>
            <w:r w:rsidRPr="005A12C8">
              <w:rPr>
                <w:rFonts w:ascii="Arial" w:hAnsi="Arial" w:cs="Arial"/>
                <w:sz w:val="22"/>
              </w:rPr>
              <w:t>300</w:t>
            </w:r>
          </w:p>
          <w:p w:rsidR="005A12C8" w:rsidRPr="005A12C8" w:rsidRDefault="005A12C8" w:rsidP="005A12C8">
            <w:pPr>
              <w:jc w:val="center"/>
              <w:rPr>
                <w:rFonts w:ascii="Arial" w:hAnsi="Arial" w:cs="Arial"/>
                <w:sz w:val="22"/>
              </w:rPr>
            </w:pPr>
            <w:r w:rsidRPr="005A12C8">
              <w:rPr>
                <w:rFonts w:ascii="Arial" w:hAnsi="Arial" w:cs="Arial"/>
                <w:sz w:val="22"/>
              </w:rPr>
              <w:t>£750,000</w:t>
            </w:r>
          </w:p>
          <w:p w:rsidR="005A12C8" w:rsidRPr="005A12C8" w:rsidRDefault="005A12C8" w:rsidP="005A12C8">
            <w:pPr>
              <w:jc w:val="center"/>
              <w:rPr>
                <w:rFonts w:ascii="Arial" w:hAnsi="Arial" w:cs="Arial"/>
                <w:sz w:val="22"/>
              </w:rPr>
            </w:pPr>
            <w:r w:rsidRPr="005A12C8">
              <w:rPr>
                <w:rFonts w:ascii="Arial" w:hAnsi="Arial" w:cs="Arial"/>
                <w:sz w:val="22"/>
              </w:rPr>
              <w:t>1060</w:t>
            </w:r>
          </w:p>
          <w:p w:rsidR="005A12C8" w:rsidRPr="005A12C8" w:rsidRDefault="005A12C8" w:rsidP="005A12C8">
            <w:pPr>
              <w:jc w:val="center"/>
              <w:rPr>
                <w:rFonts w:ascii="Arial" w:hAnsi="Arial" w:cs="Arial"/>
                <w:sz w:val="22"/>
              </w:rPr>
            </w:pPr>
            <w:r w:rsidRPr="005A12C8">
              <w:rPr>
                <w:rFonts w:ascii="Arial" w:hAnsi="Arial" w:cs="Arial"/>
                <w:sz w:val="22"/>
              </w:rPr>
              <w:t>360</w:t>
            </w:r>
          </w:p>
          <w:p w:rsidR="005A12C8" w:rsidRPr="005A12C8" w:rsidRDefault="005A12C8" w:rsidP="005A12C8">
            <w:pPr>
              <w:jc w:val="center"/>
              <w:rPr>
                <w:rFonts w:ascii="Arial" w:hAnsi="Arial" w:cs="Arial"/>
                <w:sz w:val="22"/>
              </w:rPr>
            </w:pPr>
            <w:r w:rsidRPr="005A12C8">
              <w:rPr>
                <w:rFonts w:ascii="Arial" w:hAnsi="Arial" w:cs="Arial"/>
                <w:sz w:val="22"/>
              </w:rPr>
              <w:t>180</w:t>
            </w:r>
          </w:p>
          <w:p w:rsidR="005A12C8" w:rsidRPr="005A12C8" w:rsidRDefault="005A12C8" w:rsidP="005A12C8">
            <w:pPr>
              <w:jc w:val="center"/>
              <w:rPr>
                <w:rFonts w:ascii="Arial" w:hAnsi="Arial" w:cs="Arial"/>
                <w:sz w:val="22"/>
              </w:rPr>
            </w:pPr>
            <w:r w:rsidRPr="005A12C8">
              <w:rPr>
                <w:rFonts w:ascii="Arial" w:hAnsi="Arial" w:cs="Arial"/>
                <w:sz w:val="22"/>
              </w:rPr>
              <w:t>1000</w:t>
            </w:r>
          </w:p>
        </w:tc>
      </w:tr>
    </w:tbl>
    <w:p w:rsidR="005A12C8" w:rsidRDefault="005A12C8" w:rsidP="005A12C8">
      <w:pPr>
        <w:jc w:val="both"/>
        <w:rPr>
          <w:rFonts w:ascii="Arial" w:hAnsi="Arial"/>
          <w:noProof/>
          <w:lang w:val="en-US"/>
        </w:rPr>
      </w:pPr>
    </w:p>
    <w:p w:rsidR="009E4D8D" w:rsidRDefault="009E4D8D" w:rsidP="005A12C8">
      <w:pPr>
        <w:jc w:val="both"/>
        <w:rPr>
          <w:rFonts w:ascii="Arial" w:hAnsi="Arial"/>
          <w:noProof/>
          <w:lang w:val="en-US"/>
        </w:rPr>
      </w:pPr>
    </w:p>
    <w:p w:rsidR="009E4D8D" w:rsidRDefault="009E4D8D" w:rsidP="005A12C8">
      <w:pPr>
        <w:jc w:val="both"/>
        <w:rPr>
          <w:rFonts w:ascii="Arial" w:hAnsi="Arial"/>
          <w:noProof/>
          <w:lang w:val="en-US"/>
        </w:rPr>
      </w:pPr>
    </w:p>
    <w:p w:rsidR="009E4D8D" w:rsidRDefault="009E4D8D" w:rsidP="005A12C8">
      <w:pPr>
        <w:jc w:val="both"/>
        <w:rPr>
          <w:rFonts w:ascii="Arial" w:hAnsi="Arial"/>
          <w:noProof/>
          <w:lang w:val="en-US"/>
        </w:rPr>
      </w:pPr>
    </w:p>
    <w:p w:rsidR="009E4D8D" w:rsidRPr="005A12C8" w:rsidRDefault="009E4D8D" w:rsidP="005A12C8">
      <w:pPr>
        <w:jc w:val="both"/>
        <w:rPr>
          <w:rFonts w:ascii="Arial" w:hAnsi="Arial"/>
          <w:noProof/>
          <w:lang w:val="en-US"/>
        </w:rPr>
      </w:pPr>
    </w:p>
    <w:p w:rsidR="005A12C8" w:rsidRPr="005A12C8" w:rsidRDefault="005A12C8" w:rsidP="005A12C8">
      <w:pPr>
        <w:jc w:val="both"/>
        <w:rPr>
          <w:rFonts w:ascii="Arial" w:hAnsi="Arial"/>
          <w:noProof/>
          <w:lang w:val="en-US"/>
        </w:rPr>
      </w:pPr>
    </w:p>
    <w:p w:rsidR="005A12C8" w:rsidRPr="005A12C8" w:rsidRDefault="005A12C8" w:rsidP="005A12C8">
      <w:pPr>
        <w:jc w:val="both"/>
        <w:rPr>
          <w:rFonts w:ascii="Arial" w:hAnsi="Arial"/>
          <w:b/>
          <w:noProof/>
          <w:lang w:val="en-US"/>
        </w:rPr>
      </w:pPr>
      <w:r w:rsidRPr="005A12C8">
        <w:rPr>
          <w:rFonts w:ascii="Arial" w:hAnsi="Arial"/>
          <w:b/>
          <w:noProof/>
          <w:lang w:val="en-US"/>
        </w:rPr>
        <w:t>Alignment with other business support in Lancashire</w:t>
      </w:r>
    </w:p>
    <w:p w:rsidR="005A12C8" w:rsidRPr="005A12C8" w:rsidRDefault="005A12C8" w:rsidP="005A12C8">
      <w:pPr>
        <w:jc w:val="both"/>
        <w:rPr>
          <w:rFonts w:ascii="Arial" w:hAnsi="Arial" w:cs="Arial"/>
          <w:color w:val="C0504D" w:themeColor="accent2"/>
        </w:rPr>
      </w:pPr>
      <w:bookmarkStart w:id="0" w:name="_GoBack"/>
      <w:bookmarkEnd w:id="0"/>
    </w:p>
    <w:p w:rsidR="005A12C8" w:rsidRPr="005A12C8" w:rsidRDefault="00FE26F3" w:rsidP="005A12C8">
      <w:pPr>
        <w:jc w:val="both"/>
        <w:rPr>
          <w:rFonts w:ascii="Arial" w:hAnsi="Arial" w:cs="Arial"/>
        </w:rPr>
      </w:pPr>
      <w:r>
        <w:rPr>
          <w:rFonts w:ascii="Arial" w:hAnsi="Arial" w:cs="Arial"/>
        </w:rPr>
        <w:t>T</w:t>
      </w:r>
      <w:r w:rsidR="005A12C8" w:rsidRPr="005A12C8">
        <w:rPr>
          <w:rFonts w:ascii="Arial" w:hAnsi="Arial" w:cs="Arial"/>
        </w:rPr>
        <w:t>he Lancashire ESIF provides funding for a number of other business support strands. It is important that this process simplifies not confuses the support network for businesses. In order to achieve this we are introducing a Memorandum of Understanding that all ESIF funded business support project</w:t>
      </w:r>
      <w:r>
        <w:rPr>
          <w:rFonts w:ascii="Arial" w:hAnsi="Arial" w:cs="Arial"/>
        </w:rPr>
        <w:t xml:space="preserve">s </w:t>
      </w:r>
      <w:r w:rsidR="005A12C8" w:rsidRPr="005A12C8">
        <w:rPr>
          <w:rFonts w:ascii="Arial" w:hAnsi="Arial" w:cs="Arial"/>
        </w:rPr>
        <w:t xml:space="preserve">are asked to sign.  The MOU contains important principles covering the sharing of information and joint referrals between Boost and other </w:t>
      </w:r>
      <w:r w:rsidR="00822433">
        <w:rPr>
          <w:rFonts w:ascii="Arial" w:hAnsi="Arial" w:cs="Arial"/>
        </w:rPr>
        <w:t>business support projects, including the principle of business need NOT programme need! Just because it is there, does not mean you should have it!</w:t>
      </w:r>
    </w:p>
    <w:p w:rsidR="005A12C8" w:rsidRPr="005A12C8" w:rsidRDefault="005A12C8" w:rsidP="005A12C8">
      <w:pPr>
        <w:jc w:val="both"/>
        <w:rPr>
          <w:rFonts w:ascii="Arial" w:hAnsi="Arial" w:cs="Arial"/>
        </w:rPr>
      </w:pPr>
    </w:p>
    <w:p w:rsidR="00FE26F3" w:rsidRPr="005A12C8" w:rsidRDefault="00FE26F3" w:rsidP="00FE26F3">
      <w:pPr>
        <w:jc w:val="both"/>
        <w:rPr>
          <w:rFonts w:ascii="Arial" w:hAnsi="Arial"/>
        </w:rPr>
      </w:pPr>
      <w:r w:rsidRPr="005A12C8">
        <w:rPr>
          <w:rFonts w:ascii="Arial" w:hAnsi="Arial"/>
        </w:rPr>
        <w:t>It will be an important role of the Boost Gateway to maintain an up to date register</w:t>
      </w:r>
      <w:r>
        <w:rPr>
          <w:rFonts w:ascii="Arial" w:hAnsi="Arial"/>
        </w:rPr>
        <w:t>/knowledge</w:t>
      </w:r>
      <w:r w:rsidRPr="005A12C8">
        <w:rPr>
          <w:rFonts w:ascii="Arial" w:hAnsi="Arial"/>
        </w:rPr>
        <w:t xml:space="preserve"> of all relevant national</w:t>
      </w:r>
      <w:r>
        <w:rPr>
          <w:rFonts w:ascii="Arial" w:hAnsi="Arial"/>
        </w:rPr>
        <w:t>/local</w:t>
      </w:r>
      <w:r w:rsidRPr="005A12C8">
        <w:rPr>
          <w:rFonts w:ascii="Arial" w:hAnsi="Arial"/>
        </w:rPr>
        <w:t xml:space="preserve"> support </w:t>
      </w:r>
      <w:r>
        <w:rPr>
          <w:rFonts w:ascii="Arial" w:hAnsi="Arial"/>
        </w:rPr>
        <w:t>(</w:t>
      </w:r>
      <w:r w:rsidRPr="005A12C8">
        <w:rPr>
          <w:rFonts w:ascii="Arial" w:hAnsi="Arial"/>
        </w:rPr>
        <w:t>and where appropriate</w:t>
      </w:r>
      <w:r>
        <w:rPr>
          <w:rFonts w:ascii="Arial" w:hAnsi="Arial"/>
        </w:rPr>
        <w:t xml:space="preserve"> private sector provision)</w:t>
      </w:r>
      <w:r w:rsidRPr="005A12C8">
        <w:rPr>
          <w:rFonts w:ascii="Arial" w:hAnsi="Arial"/>
        </w:rPr>
        <w:t xml:space="preserve"> to signpost local busines</w:t>
      </w:r>
      <w:r>
        <w:rPr>
          <w:rFonts w:ascii="Arial" w:hAnsi="Arial"/>
        </w:rPr>
        <w:t>s to the most relevant growth enabling opportunities.</w:t>
      </w:r>
    </w:p>
    <w:p w:rsidR="007E26D5" w:rsidRDefault="007E26D5" w:rsidP="00127006">
      <w:pPr>
        <w:rPr>
          <w:rFonts w:ascii="Arial" w:hAnsi="Arial" w:cs="Arial"/>
          <w:b/>
        </w:rPr>
      </w:pPr>
    </w:p>
    <w:p w:rsidR="005A12C8" w:rsidRPr="005A12C8" w:rsidRDefault="005A12C8" w:rsidP="005A12C8">
      <w:pPr>
        <w:jc w:val="both"/>
        <w:rPr>
          <w:rFonts w:ascii="Arial" w:hAnsi="Arial"/>
          <w:noProof/>
          <w:lang w:val="en-US"/>
        </w:rPr>
      </w:pPr>
      <w:r w:rsidRPr="005A12C8">
        <w:rPr>
          <w:rFonts w:ascii="Arial" w:hAnsi="Arial"/>
          <w:noProof/>
          <w:lang w:val="en-US"/>
        </w:rPr>
        <w:t>Boost has only been</w:t>
      </w:r>
      <w:r w:rsidR="00822433">
        <w:rPr>
          <w:rFonts w:ascii="Arial" w:hAnsi="Arial"/>
          <w:noProof/>
          <w:lang w:val="en-US"/>
        </w:rPr>
        <w:t xml:space="preserve"> operational for a few months</w:t>
      </w:r>
      <w:r w:rsidRPr="005A12C8">
        <w:rPr>
          <w:rFonts w:ascii="Arial" w:hAnsi="Arial"/>
          <w:noProof/>
          <w:lang w:val="en-US"/>
        </w:rPr>
        <w:t xml:space="preserve">, </w:t>
      </w:r>
      <w:r w:rsidR="00E65068">
        <w:rPr>
          <w:rFonts w:ascii="Arial" w:hAnsi="Arial"/>
          <w:noProof/>
          <w:lang w:val="en-US"/>
        </w:rPr>
        <w:t xml:space="preserve">as such </w:t>
      </w:r>
      <w:r w:rsidRPr="005A12C8">
        <w:rPr>
          <w:rFonts w:ascii="Arial" w:hAnsi="Arial"/>
          <w:noProof/>
          <w:lang w:val="en-US"/>
        </w:rPr>
        <w:t>it is too early to draw firm conclusions on the perf</w:t>
      </w:r>
      <w:r w:rsidR="00822433">
        <w:rPr>
          <w:rFonts w:ascii="Arial" w:hAnsi="Arial"/>
          <w:noProof/>
          <w:lang w:val="en-US"/>
        </w:rPr>
        <w:t>ormance of the new service</w:t>
      </w:r>
      <w:r w:rsidRPr="005A12C8">
        <w:rPr>
          <w:rFonts w:ascii="Arial" w:hAnsi="Arial"/>
          <w:noProof/>
          <w:lang w:val="en-US"/>
        </w:rPr>
        <w:t>, but the signs are encouraging in relation to the numbers of busin</w:t>
      </w:r>
      <w:r w:rsidR="00E65068">
        <w:rPr>
          <w:rFonts w:ascii="Arial" w:hAnsi="Arial"/>
          <w:noProof/>
          <w:lang w:val="en-US"/>
        </w:rPr>
        <w:t>esses with growth prospects we are engaging with.</w:t>
      </w:r>
      <w:r w:rsidR="008E1DA3">
        <w:rPr>
          <w:rFonts w:ascii="Arial" w:hAnsi="Arial"/>
          <w:noProof/>
          <w:lang w:val="en-US"/>
        </w:rPr>
        <w:t xml:space="preserve">  To date (from a late start in March we have already provided support to 274 beneficaries and created 48 new jobs.</w:t>
      </w:r>
    </w:p>
    <w:p w:rsidR="005A12C8" w:rsidRPr="005A12C8" w:rsidRDefault="005A12C8" w:rsidP="005A12C8">
      <w:pPr>
        <w:jc w:val="both"/>
        <w:rPr>
          <w:rFonts w:ascii="Arial" w:hAnsi="Arial"/>
          <w:noProof/>
          <w:lang w:val="en-US"/>
        </w:rPr>
      </w:pPr>
    </w:p>
    <w:p w:rsidR="005A12C8" w:rsidRPr="005A12C8" w:rsidRDefault="005A12C8" w:rsidP="005A12C8">
      <w:pPr>
        <w:jc w:val="both"/>
        <w:rPr>
          <w:rFonts w:ascii="Arial" w:hAnsi="Arial"/>
          <w:noProof/>
          <w:lang w:val="en-US"/>
        </w:rPr>
      </w:pPr>
      <w:r w:rsidRPr="005A12C8">
        <w:rPr>
          <w:rFonts w:ascii="Arial" w:hAnsi="Arial"/>
          <w:noProof/>
          <w:lang w:val="en-US"/>
        </w:rPr>
        <w:tab/>
      </w:r>
    </w:p>
    <w:p w:rsidR="005A12C8" w:rsidRPr="005A12C8" w:rsidRDefault="005A12C8" w:rsidP="005A12C8"/>
    <w:p w:rsidR="003F19C1" w:rsidRPr="003F19C1" w:rsidRDefault="003F19C1" w:rsidP="003F19C1">
      <w:pPr>
        <w:pStyle w:val="ListParagraph"/>
        <w:ind w:left="567" w:hanging="567"/>
        <w:rPr>
          <w:rFonts w:ascii="Arial" w:hAnsi="Arial" w:cs="Arial"/>
          <w:b/>
          <w:sz w:val="24"/>
          <w:szCs w:val="24"/>
        </w:rPr>
      </w:pPr>
    </w:p>
    <w:sectPr w:rsidR="003F19C1" w:rsidRPr="003F19C1" w:rsidSect="00C61918">
      <w:headerReference w:type="default" r:id="rId7"/>
      <w:footerReference w:type="even" r:id="rId8"/>
      <w:pgSz w:w="11904" w:h="16834"/>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A54" w:rsidRDefault="004F6A54">
      <w:r>
        <w:separator/>
      </w:r>
    </w:p>
  </w:endnote>
  <w:endnote w:type="continuationSeparator" w:id="0">
    <w:p w:rsidR="004F6A54" w:rsidRDefault="004F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76" w:rsidRDefault="00CA0D76" w:rsidP="00DE34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0D76" w:rsidRDefault="00CA0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A54" w:rsidRDefault="004F6A54">
      <w:r>
        <w:separator/>
      </w:r>
    </w:p>
  </w:footnote>
  <w:footnote w:type="continuationSeparator" w:id="0">
    <w:p w:rsidR="004F6A54" w:rsidRDefault="004F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C1" w:rsidRPr="009E4D8D" w:rsidRDefault="003F19C1" w:rsidP="009E4D8D">
    <w:pPr>
      <w:pStyle w:val="Header"/>
      <w:rPr>
        <w:rFonts w:ascii="Arial" w:hAnsi="Arial" w:cs="Arial"/>
        <w:b/>
      </w:rPr>
    </w:pPr>
    <w:r>
      <w:rPr>
        <w:noProof/>
        <w:lang w:eastAsia="en-GB"/>
      </w:rPr>
      <w:drawing>
        <wp:inline distT="0" distB="0" distL="0" distR="0" wp14:anchorId="33EAEF80" wp14:editId="56F2CBFA">
          <wp:extent cx="2059866" cy="6129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307" cy="616651"/>
                  </a:xfrm>
                  <a:prstGeom prst="rect">
                    <a:avLst/>
                  </a:prstGeom>
                </pic:spPr>
              </pic:pic>
            </a:graphicData>
          </a:graphic>
        </wp:inline>
      </w:drawing>
    </w:r>
    <w:r w:rsidR="009E4D8D">
      <w:rPr>
        <w:rFonts w:ascii="Arial" w:hAnsi="Arial" w:cs="Arial"/>
        <w:b/>
      </w:rPr>
      <w:tab/>
    </w:r>
    <w:r w:rsidR="009E4D8D">
      <w:rPr>
        <w:rFonts w:ascii="Arial" w:hAnsi="Arial" w:cs="Arial"/>
        <w:b/>
      </w:rPr>
      <w:tab/>
    </w:r>
    <w:r w:rsidR="009E4D8D" w:rsidRPr="009E4D8D">
      <w:rPr>
        <w:rFonts w:ascii="Arial" w:hAnsi="Arial" w:cs="Arial"/>
        <w:b/>
      </w:rPr>
      <w:t>Appendix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7AE"/>
    <w:multiLevelType w:val="hybridMultilevel"/>
    <w:tmpl w:val="A4A24990"/>
    <w:lvl w:ilvl="0" w:tplc="DF8CC0B2">
      <w:start w:val="1"/>
      <w:numFmt w:val="bullet"/>
      <w:lvlText w:val=""/>
      <w:lvlJc w:val="left"/>
      <w:pPr>
        <w:ind w:left="397" w:hanging="37"/>
      </w:pPr>
      <w:rPr>
        <w:rFonts w:ascii="Symbol" w:hAnsi="Symbol" w:hint="default"/>
      </w:rPr>
    </w:lvl>
    <w:lvl w:ilvl="1" w:tplc="2392254A" w:tentative="1">
      <w:start w:val="1"/>
      <w:numFmt w:val="bullet"/>
      <w:lvlText w:val="o"/>
      <w:lvlJc w:val="left"/>
      <w:pPr>
        <w:ind w:left="1440" w:hanging="360"/>
      </w:pPr>
      <w:rPr>
        <w:rFonts w:ascii="Courier New" w:hAnsi="Courier New" w:hint="default"/>
      </w:rPr>
    </w:lvl>
    <w:lvl w:ilvl="2" w:tplc="CAD61AB0" w:tentative="1">
      <w:start w:val="1"/>
      <w:numFmt w:val="bullet"/>
      <w:lvlText w:val=""/>
      <w:lvlJc w:val="left"/>
      <w:pPr>
        <w:ind w:left="2160" w:hanging="360"/>
      </w:pPr>
      <w:rPr>
        <w:rFonts w:ascii="Wingdings" w:hAnsi="Wingdings" w:hint="default"/>
      </w:rPr>
    </w:lvl>
    <w:lvl w:ilvl="3" w:tplc="3328F484" w:tentative="1">
      <w:start w:val="1"/>
      <w:numFmt w:val="bullet"/>
      <w:lvlText w:val=""/>
      <w:lvlJc w:val="left"/>
      <w:pPr>
        <w:ind w:left="2880" w:hanging="360"/>
      </w:pPr>
      <w:rPr>
        <w:rFonts w:ascii="Symbol" w:hAnsi="Symbol" w:hint="default"/>
      </w:rPr>
    </w:lvl>
    <w:lvl w:ilvl="4" w:tplc="F3C0D6C2" w:tentative="1">
      <w:start w:val="1"/>
      <w:numFmt w:val="bullet"/>
      <w:lvlText w:val="o"/>
      <w:lvlJc w:val="left"/>
      <w:pPr>
        <w:ind w:left="3600" w:hanging="360"/>
      </w:pPr>
      <w:rPr>
        <w:rFonts w:ascii="Courier New" w:hAnsi="Courier New" w:hint="default"/>
      </w:rPr>
    </w:lvl>
    <w:lvl w:ilvl="5" w:tplc="90E29A8E" w:tentative="1">
      <w:start w:val="1"/>
      <w:numFmt w:val="bullet"/>
      <w:lvlText w:val=""/>
      <w:lvlJc w:val="left"/>
      <w:pPr>
        <w:ind w:left="4320" w:hanging="360"/>
      </w:pPr>
      <w:rPr>
        <w:rFonts w:ascii="Wingdings" w:hAnsi="Wingdings" w:hint="default"/>
      </w:rPr>
    </w:lvl>
    <w:lvl w:ilvl="6" w:tplc="D6E48206" w:tentative="1">
      <w:start w:val="1"/>
      <w:numFmt w:val="bullet"/>
      <w:lvlText w:val=""/>
      <w:lvlJc w:val="left"/>
      <w:pPr>
        <w:ind w:left="5040" w:hanging="360"/>
      </w:pPr>
      <w:rPr>
        <w:rFonts w:ascii="Symbol" w:hAnsi="Symbol" w:hint="default"/>
      </w:rPr>
    </w:lvl>
    <w:lvl w:ilvl="7" w:tplc="BEA67B96" w:tentative="1">
      <w:start w:val="1"/>
      <w:numFmt w:val="bullet"/>
      <w:lvlText w:val="o"/>
      <w:lvlJc w:val="left"/>
      <w:pPr>
        <w:ind w:left="5760" w:hanging="360"/>
      </w:pPr>
      <w:rPr>
        <w:rFonts w:ascii="Courier New" w:hAnsi="Courier New" w:hint="default"/>
      </w:rPr>
    </w:lvl>
    <w:lvl w:ilvl="8" w:tplc="A4A83AE4" w:tentative="1">
      <w:start w:val="1"/>
      <w:numFmt w:val="bullet"/>
      <w:lvlText w:val=""/>
      <w:lvlJc w:val="left"/>
      <w:pPr>
        <w:ind w:left="6480" w:hanging="360"/>
      </w:pPr>
      <w:rPr>
        <w:rFonts w:ascii="Wingdings" w:hAnsi="Wingdings" w:hint="default"/>
      </w:rPr>
    </w:lvl>
  </w:abstractNum>
  <w:abstractNum w:abstractNumId="1" w15:restartNumberingAfterBreak="0">
    <w:nsid w:val="0DC73B0E"/>
    <w:multiLevelType w:val="hybridMultilevel"/>
    <w:tmpl w:val="4C7A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12A45"/>
    <w:multiLevelType w:val="hybridMultilevel"/>
    <w:tmpl w:val="CD329F6A"/>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0321F"/>
    <w:multiLevelType w:val="hybridMultilevel"/>
    <w:tmpl w:val="10BA36CE"/>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D221B"/>
    <w:multiLevelType w:val="hybridMultilevel"/>
    <w:tmpl w:val="5BD21E0A"/>
    <w:lvl w:ilvl="0" w:tplc="2B7CBFF2">
      <w:numFmt w:val="bullet"/>
      <w:lvlText w:val="-"/>
      <w:lvlJc w:val="left"/>
      <w:pPr>
        <w:ind w:left="360" w:hanging="360"/>
      </w:pPr>
      <w:rPr>
        <w:rFonts w:ascii="Calibri" w:eastAsia="Cambria" w:hAnsi="Calibri" w:cs="Times New Roman"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E4693"/>
    <w:multiLevelType w:val="hybridMultilevel"/>
    <w:tmpl w:val="C8A61222"/>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0325C"/>
    <w:multiLevelType w:val="hybridMultilevel"/>
    <w:tmpl w:val="7D4E7CDC"/>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D2E9E"/>
    <w:multiLevelType w:val="hybridMultilevel"/>
    <w:tmpl w:val="584A62AE"/>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A4058"/>
    <w:multiLevelType w:val="hybridMultilevel"/>
    <w:tmpl w:val="E7A069FE"/>
    <w:lvl w:ilvl="0" w:tplc="6CFCA04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50C50"/>
    <w:multiLevelType w:val="hybridMultilevel"/>
    <w:tmpl w:val="172085DA"/>
    <w:lvl w:ilvl="0" w:tplc="05E21DC8">
      <w:start w:val="1"/>
      <w:numFmt w:val="bullet"/>
      <w:lvlText w:val=""/>
      <w:lvlJc w:val="left"/>
      <w:pPr>
        <w:ind w:left="397" w:hanging="3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D527D"/>
    <w:multiLevelType w:val="hybridMultilevel"/>
    <w:tmpl w:val="B042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D6706"/>
    <w:multiLevelType w:val="hybridMultilevel"/>
    <w:tmpl w:val="5D98ECF6"/>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3A49"/>
    <w:multiLevelType w:val="hybridMultilevel"/>
    <w:tmpl w:val="9684C068"/>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C0265"/>
    <w:multiLevelType w:val="multilevel"/>
    <w:tmpl w:val="1516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8166A"/>
    <w:multiLevelType w:val="hybridMultilevel"/>
    <w:tmpl w:val="CD107A4E"/>
    <w:lvl w:ilvl="0" w:tplc="6C6872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C2CA1"/>
    <w:multiLevelType w:val="hybridMultilevel"/>
    <w:tmpl w:val="AD2616DE"/>
    <w:lvl w:ilvl="0" w:tplc="C9DED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603BE"/>
    <w:multiLevelType w:val="hybridMultilevel"/>
    <w:tmpl w:val="6AAA9A02"/>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14D4C"/>
    <w:multiLevelType w:val="hybridMultilevel"/>
    <w:tmpl w:val="6174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16692"/>
    <w:multiLevelType w:val="hybridMultilevel"/>
    <w:tmpl w:val="9A80B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4"/>
  </w:num>
  <w:num w:numId="5">
    <w:abstractNumId w:val="17"/>
  </w:num>
  <w:num w:numId="6">
    <w:abstractNumId w:val="1"/>
  </w:num>
  <w:num w:numId="7">
    <w:abstractNumId w:val="18"/>
  </w:num>
  <w:num w:numId="8">
    <w:abstractNumId w:val="10"/>
  </w:num>
  <w:num w:numId="9">
    <w:abstractNumId w:val="11"/>
  </w:num>
  <w:num w:numId="10">
    <w:abstractNumId w:val="5"/>
  </w:num>
  <w:num w:numId="11">
    <w:abstractNumId w:val="16"/>
  </w:num>
  <w:num w:numId="12">
    <w:abstractNumId w:val="9"/>
  </w:num>
  <w:num w:numId="13">
    <w:abstractNumId w:val="12"/>
  </w:num>
  <w:num w:numId="14">
    <w:abstractNumId w:val="6"/>
  </w:num>
  <w:num w:numId="15">
    <w:abstractNumId w:val="15"/>
  </w:num>
  <w:num w:numId="16">
    <w:abstractNumId w:val="8"/>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AD"/>
    <w:rsid w:val="00010B0B"/>
    <w:rsid w:val="000510CF"/>
    <w:rsid w:val="000818F5"/>
    <w:rsid w:val="000D6C26"/>
    <w:rsid w:val="00127006"/>
    <w:rsid w:val="001B4CEF"/>
    <w:rsid w:val="002D7169"/>
    <w:rsid w:val="003210A9"/>
    <w:rsid w:val="003606A0"/>
    <w:rsid w:val="003824D7"/>
    <w:rsid w:val="003F19C1"/>
    <w:rsid w:val="004F59A2"/>
    <w:rsid w:val="004F6A54"/>
    <w:rsid w:val="00546C71"/>
    <w:rsid w:val="005608DB"/>
    <w:rsid w:val="005A12C8"/>
    <w:rsid w:val="00600BE1"/>
    <w:rsid w:val="00696A7C"/>
    <w:rsid w:val="00760FA1"/>
    <w:rsid w:val="007C0746"/>
    <w:rsid w:val="007E26D5"/>
    <w:rsid w:val="00822433"/>
    <w:rsid w:val="0088208C"/>
    <w:rsid w:val="008C40E4"/>
    <w:rsid w:val="008E1DA3"/>
    <w:rsid w:val="008F141B"/>
    <w:rsid w:val="00902007"/>
    <w:rsid w:val="00925CAE"/>
    <w:rsid w:val="00970DE4"/>
    <w:rsid w:val="009E0265"/>
    <w:rsid w:val="009E4D8D"/>
    <w:rsid w:val="00A542B5"/>
    <w:rsid w:val="00A76F25"/>
    <w:rsid w:val="00AE05BD"/>
    <w:rsid w:val="00B03DEF"/>
    <w:rsid w:val="00B4463D"/>
    <w:rsid w:val="00C61918"/>
    <w:rsid w:val="00CA0CAD"/>
    <w:rsid w:val="00CA0D76"/>
    <w:rsid w:val="00D222BC"/>
    <w:rsid w:val="00D53434"/>
    <w:rsid w:val="00D63D9A"/>
    <w:rsid w:val="00D97C60"/>
    <w:rsid w:val="00DB2167"/>
    <w:rsid w:val="00DE3407"/>
    <w:rsid w:val="00E10290"/>
    <w:rsid w:val="00E45D1D"/>
    <w:rsid w:val="00E65068"/>
    <w:rsid w:val="00EA0BC9"/>
    <w:rsid w:val="00F0732A"/>
    <w:rsid w:val="00FC72BD"/>
    <w:rsid w:val="00FE02C6"/>
    <w:rsid w:val="00FE26F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9BD1390-76B8-4CC4-B662-C36D90AC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1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uiPriority w:val="34"/>
    <w:qFormat/>
    <w:rsid w:val="00CA0CAD"/>
    <w:pPr>
      <w:spacing w:after="200" w:line="276" w:lineRule="auto"/>
      <w:ind w:left="720"/>
      <w:contextualSpacing/>
    </w:pPr>
    <w:rPr>
      <w:rFonts w:ascii="Calibri" w:eastAsia="Calibri" w:hAnsi="Calibri" w:cs="Times New Roman"/>
      <w:sz w:val="22"/>
      <w:szCs w:val="22"/>
    </w:rPr>
  </w:style>
  <w:style w:type="paragraph" w:styleId="Footer">
    <w:name w:val="footer"/>
    <w:basedOn w:val="Normal"/>
    <w:link w:val="FooterChar"/>
    <w:uiPriority w:val="99"/>
    <w:unhideWhenUsed/>
    <w:rsid w:val="00B03DEF"/>
    <w:pPr>
      <w:tabs>
        <w:tab w:val="center" w:pos="4320"/>
        <w:tab w:val="right" w:pos="8640"/>
      </w:tabs>
    </w:pPr>
  </w:style>
  <w:style w:type="character" w:customStyle="1" w:styleId="FooterChar">
    <w:name w:val="Footer Char"/>
    <w:basedOn w:val="DefaultParagraphFont"/>
    <w:link w:val="Footer"/>
    <w:uiPriority w:val="99"/>
    <w:rsid w:val="00B03DEF"/>
    <w:rPr>
      <w:lang w:val="en-GB"/>
    </w:rPr>
  </w:style>
  <w:style w:type="character" w:styleId="PageNumber">
    <w:name w:val="page number"/>
    <w:basedOn w:val="DefaultParagraphFont"/>
    <w:uiPriority w:val="99"/>
    <w:semiHidden/>
    <w:unhideWhenUsed/>
    <w:rsid w:val="00B03DEF"/>
  </w:style>
  <w:style w:type="paragraph" w:styleId="Header">
    <w:name w:val="header"/>
    <w:basedOn w:val="Normal"/>
    <w:link w:val="HeaderChar"/>
    <w:uiPriority w:val="99"/>
    <w:unhideWhenUsed/>
    <w:rsid w:val="00B03DEF"/>
    <w:pPr>
      <w:tabs>
        <w:tab w:val="center" w:pos="4320"/>
        <w:tab w:val="right" w:pos="8640"/>
      </w:tabs>
    </w:pPr>
  </w:style>
  <w:style w:type="character" w:customStyle="1" w:styleId="HeaderChar">
    <w:name w:val="Header Char"/>
    <w:basedOn w:val="DefaultParagraphFont"/>
    <w:link w:val="Header"/>
    <w:uiPriority w:val="99"/>
    <w:rsid w:val="00B03DEF"/>
    <w:rPr>
      <w:lang w:val="en-GB"/>
    </w:rPr>
  </w:style>
  <w:style w:type="paragraph" w:styleId="NormalWeb">
    <w:name w:val="Normal (Web)"/>
    <w:basedOn w:val="Normal"/>
    <w:uiPriority w:val="99"/>
    <w:rsid w:val="00B03DEF"/>
    <w:pPr>
      <w:spacing w:beforeLines="1" w:afterLines="1"/>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3F1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9C1"/>
    <w:rPr>
      <w:rFonts w:ascii="Segoe UI" w:hAnsi="Segoe UI" w:cs="Segoe UI"/>
      <w:sz w:val="18"/>
      <w:szCs w:val="18"/>
      <w:lang w:val="en-GB"/>
    </w:rPr>
  </w:style>
  <w:style w:type="paragraph" w:styleId="NoSpacing">
    <w:name w:val="No Spacing"/>
    <w:uiPriority w:val="1"/>
    <w:qFormat/>
    <w:rsid w:val="003F19C1"/>
    <w:rPr>
      <w:rFonts w:ascii="Arial" w:eastAsia="Times New Roman" w:hAnsi="Arial" w:cs="Times New Roman"/>
      <w:szCs w:val="22"/>
      <w:lang w:val="en-GB"/>
    </w:rPr>
  </w:style>
  <w:style w:type="paragraph" w:styleId="PlainText">
    <w:name w:val="Plain Text"/>
    <w:basedOn w:val="Normal"/>
    <w:link w:val="PlainTextChar"/>
    <w:rsid w:val="003F19C1"/>
    <w:rPr>
      <w:rFonts w:ascii="Consolas" w:eastAsia="Times New Roman" w:hAnsi="Consolas" w:cs="Times New Roman"/>
      <w:sz w:val="21"/>
      <w:szCs w:val="21"/>
    </w:rPr>
  </w:style>
  <w:style w:type="character" w:customStyle="1" w:styleId="PlainTextChar">
    <w:name w:val="Plain Text Char"/>
    <w:basedOn w:val="DefaultParagraphFont"/>
    <w:link w:val="PlainText"/>
    <w:rsid w:val="003F19C1"/>
    <w:rPr>
      <w:rFonts w:ascii="Consolas" w:eastAsia="Times New Roman" w:hAnsi="Consolas" w:cs="Times New Roman"/>
      <w:sz w:val="21"/>
      <w:szCs w:val="21"/>
      <w:lang w:val="en-GB"/>
    </w:rPr>
  </w:style>
  <w:style w:type="table" w:styleId="TableGrid">
    <w:name w:val="Table Grid"/>
    <w:basedOn w:val="TableNormal"/>
    <w:uiPriority w:val="39"/>
    <w:rsid w:val="005A12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Crabtreewood</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Hoyle</dc:creator>
  <cp:keywords/>
  <cp:lastModifiedBy>Milroy, Andy</cp:lastModifiedBy>
  <cp:revision>5</cp:revision>
  <cp:lastPrinted>2016-08-22T15:14:00Z</cp:lastPrinted>
  <dcterms:created xsi:type="dcterms:W3CDTF">2016-08-22T13:59:00Z</dcterms:created>
  <dcterms:modified xsi:type="dcterms:W3CDTF">2016-09-01T08:55:00Z</dcterms:modified>
</cp:coreProperties>
</file>